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02B" w:rsidRPr="00AB402B" w:rsidRDefault="00AB402B" w:rsidP="00AB402B">
      <w:pPr>
        <w:spacing w:after="252" w:line="250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Vodne usluge d.o.o. Bjelovar, Ferde Livadića 14 a ,</w:t>
      </w:r>
      <w:r w:rsidRPr="00AB402B">
        <w:rPr>
          <w:rFonts w:ascii="Calibri" w:eastAsia="Calibri" w:hAnsi="Calibri" w:cs="Calibri"/>
          <w:spacing w:val="5"/>
          <w:sz w:val="16"/>
          <w:szCs w:val="16"/>
          <w:lang w:eastAsia="hr-HR"/>
        </w:rPr>
        <w:t>OIB 43307218011</w:t>
      </w: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 xml:space="preserve"> koje zastupa predsjednik uprave Ivan Ivančić, dipl. </w:t>
      </w:r>
      <w:proofErr w:type="spellStart"/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oec</w:t>
      </w:r>
      <w:proofErr w:type="spellEnd"/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. (u daljnjem tekstu: Naručitelj)</w:t>
      </w:r>
    </w:p>
    <w:p w:rsidR="00AB402B" w:rsidRPr="00AB402B" w:rsidRDefault="00AB402B" w:rsidP="00AB402B">
      <w:pPr>
        <w:spacing w:after="252" w:line="250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i</w:t>
      </w:r>
    </w:p>
    <w:p w:rsidR="00AB402B" w:rsidRPr="00AB402B" w:rsidRDefault="00AB402B" w:rsidP="00AB402B">
      <w:pPr>
        <w:tabs>
          <w:tab w:val="left" w:pos="2703"/>
        </w:tabs>
        <w:spacing w:after="175" w:line="160" w:lineRule="exact"/>
        <w:ind w:left="20"/>
        <w:rPr>
          <w:rFonts w:ascii="Calibri" w:eastAsia="Calibri" w:hAnsi="Calibri" w:cs="Times New Roman"/>
          <w:bCs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bCs/>
          <w:spacing w:val="5"/>
          <w:sz w:val="18"/>
          <w:szCs w:val="18"/>
          <w:lang w:eastAsia="hr-HR"/>
        </w:rPr>
        <w:t>________________________________________OIB _______________ kojeg zastupa ___________________ (u daljnjem tekstu Revizor)</w:t>
      </w:r>
    </w:p>
    <w:p w:rsidR="00AB402B" w:rsidRPr="00AB402B" w:rsidRDefault="00AB402B" w:rsidP="00AB402B">
      <w:pPr>
        <w:tabs>
          <w:tab w:val="left" w:pos="2703"/>
        </w:tabs>
        <w:spacing w:after="175" w:line="160" w:lineRule="exact"/>
        <w:ind w:lef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tabs>
          <w:tab w:val="left" w:pos="2703"/>
        </w:tabs>
        <w:spacing w:after="175" w:line="160" w:lineRule="exact"/>
        <w:ind w:lef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zaključili su dana</w:t>
      </w:r>
    </w:p>
    <w:p w:rsidR="00AB402B" w:rsidRPr="00AB402B" w:rsidRDefault="00AB402B" w:rsidP="00AB402B">
      <w:pPr>
        <w:spacing w:after="424" w:line="245" w:lineRule="exact"/>
        <w:jc w:val="center"/>
        <w:outlineLvl w:val="1"/>
        <w:rPr>
          <w:rFonts w:ascii="Calibri" w:eastAsia="Calibri" w:hAnsi="Calibri" w:cs="Times New Roman"/>
          <w:spacing w:val="4"/>
          <w:sz w:val="18"/>
          <w:szCs w:val="18"/>
          <w:lang w:eastAsia="hr-HR"/>
        </w:rPr>
      </w:pPr>
      <w:bookmarkStart w:id="0" w:name="bookmark0"/>
      <w:r w:rsidRPr="00AB402B">
        <w:rPr>
          <w:rFonts w:ascii="Calibri" w:eastAsia="Calibri" w:hAnsi="Calibri" w:cs="Times New Roman"/>
          <w:spacing w:val="4"/>
          <w:sz w:val="18"/>
          <w:szCs w:val="18"/>
          <w:lang w:eastAsia="hr-HR"/>
        </w:rPr>
        <w:t xml:space="preserve">UGOVOR O USLUGAMA REVIZIJE BROJ: </w:t>
      </w:r>
      <w:bookmarkEnd w:id="0"/>
    </w:p>
    <w:p w:rsidR="00AB402B" w:rsidRPr="00AB402B" w:rsidRDefault="00AB402B" w:rsidP="00AB402B">
      <w:pPr>
        <w:spacing w:after="424" w:line="245" w:lineRule="exact"/>
        <w:jc w:val="center"/>
        <w:outlineLvl w:val="1"/>
        <w:rPr>
          <w:rFonts w:ascii="Calibri" w:eastAsia="Calibri" w:hAnsi="Calibri" w:cs="Times New Roman"/>
          <w:spacing w:val="4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4"/>
          <w:sz w:val="18"/>
          <w:szCs w:val="18"/>
          <w:lang w:eastAsia="hr-HR"/>
        </w:rPr>
        <w:t>___________________</w:t>
      </w:r>
    </w:p>
    <w:p w:rsidR="00AB402B" w:rsidRPr="00AB402B" w:rsidRDefault="00AB402B" w:rsidP="00AB402B">
      <w:pPr>
        <w:spacing w:after="0" w:line="240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1.</w:t>
      </w:r>
    </w:p>
    <w:p w:rsidR="00AB402B" w:rsidRPr="00AB402B" w:rsidRDefault="00AB402B" w:rsidP="00AB402B">
      <w:pPr>
        <w:spacing w:after="18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Predmet ovog ugovora su usluge revizije izvještaja Naručitelja, temeljem Zakona o vodama (Narodne novine broj 66/2019), Uredbe o najnižoj osnovnoj cijeni vodnih usluga i vrsti troškova koje cijena vodnih usluga pokriva i Uredbe o mjerilima ekonomičnog poslovanja isporučitelja vodnih usluga (Narodne novine broj: 112/2010). Uprava društva: Vodne usluge d.o.o. Bjelovar dužna je izraditi financijske izvještaje i osigurati da su financijske informacije u tim izvještajima koje izrađuje i izdaje pripremljeni u skladu sa navedenim propisima i godišnjim financijskim izvještajima za svaku poslovnu godinu na koju se te informacije odnose, tako da daju istinit prikaz podataka o ekonomičnosti u djelatnosti javne vodoopskrbe i javne odvodnje za 2019. godinu Društva, te istinit i objektivan izračun najniže osnovne cijene vodnih usluga za 2019. godinu.</w:t>
      </w:r>
    </w:p>
    <w:p w:rsidR="00AB402B" w:rsidRPr="00AB402B" w:rsidRDefault="00AB402B" w:rsidP="00AB402B">
      <w:pPr>
        <w:spacing w:after="0" w:line="240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2.</w:t>
      </w: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Ugovorne strane su suglasne da naknada Revizoru za obavljanje poslova iz članka 1. ovog ugovora iznosi:</w:t>
      </w: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0" w:lineRule="exact"/>
        <w:ind w:left="20" w:right="20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________________ kn</w:t>
      </w: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0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(slovima: _______________________</w:t>
      </w: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u kojoj nije sadržan iznos poreza na dodanu vrijednost koji će se obračunavati sukladno važećoj tarifi u trenutku plaćanja ugovorene naknade po predujmovima i po konačnom obračunu izvršenja usluga revizije, sukladno propisima .</w:t>
      </w:r>
    </w:p>
    <w:p w:rsidR="00AB402B" w:rsidRPr="00AB402B" w:rsidRDefault="00AB402B" w:rsidP="00AB402B">
      <w:pPr>
        <w:spacing w:after="416" w:line="240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Ugovorena naknada plaća se na žiro račun Revizora u roku od 30 dana od dana predaje izvješća Revizora. Naručitelj se obvezuje isplatiti ugovorenu naknadu za reviziju financijskih izvještaja neovisno o izraženom mišljenju.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3.</w:t>
      </w:r>
    </w:p>
    <w:p w:rsidR="00AB402B" w:rsidRPr="00AB402B" w:rsidRDefault="00AB402B" w:rsidP="00AB402B">
      <w:pPr>
        <w:spacing w:after="420" w:line="245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Kako bi oblikovao mišljenje,  Revizor se obvezuje provesti neophodna ispitivanja i testiranja , te pribaviti sve potrebne revizijske dokaze 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4.</w:t>
      </w:r>
    </w:p>
    <w:p w:rsidR="00AB402B" w:rsidRPr="00AB402B" w:rsidRDefault="00AB402B" w:rsidP="00AB402B">
      <w:pPr>
        <w:spacing w:after="180" w:line="245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Ako tijekom postupka revizije Naručitelj odluči postaviti ograničenja za obavljanje revizije, a Revizor ocijeni da zbog toga neće moći izraziti svoje mišljenje, Revizor će odlučiti hoće li obaviti dodatna ispitivanja ili će zatražiti raskid ugovora o reviziji.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5.</w:t>
      </w:r>
    </w:p>
    <w:p w:rsidR="00AB402B" w:rsidRPr="00AB402B" w:rsidRDefault="00AB402B" w:rsidP="00AB402B">
      <w:pPr>
        <w:spacing w:after="420" w:line="245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Revizor se obavezuje obaviti reviziju u skladu sa Zakonom o reviziji , te na način i prema postupcima utvrđenim Međunarodnim revizijskim standardima.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6.</w:t>
      </w:r>
    </w:p>
    <w:p w:rsidR="00AB402B" w:rsidRPr="00AB402B" w:rsidRDefault="00AB402B" w:rsidP="00AB402B">
      <w:pPr>
        <w:spacing w:after="0" w:line="245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Revizor se obvezuje poštivati Kodeks profesionalne etike revizora i poslove revizije obavljati savjesno, pošteno i objektivno.</w:t>
      </w:r>
    </w:p>
    <w:p w:rsidR="00AB402B" w:rsidRPr="00AB402B" w:rsidRDefault="00AB402B" w:rsidP="00AB402B">
      <w:pPr>
        <w:spacing w:after="420" w:line="245" w:lineRule="exact"/>
        <w:ind w:left="20" w:right="20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lastRenderedPageBreak/>
        <w:t>Revizor nije odgovoran za financijske izvještaje Naručitelja , kao ni za moguće prijevare, pronevjere i pogreške nastale u poslovanju Naručitelja.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Članak 7.</w:t>
      </w:r>
    </w:p>
    <w:p w:rsidR="00AB402B" w:rsidRDefault="00AB402B" w:rsidP="00AB402B">
      <w:pPr>
        <w:spacing w:after="420" w:line="245" w:lineRule="exact"/>
        <w:ind w:left="20" w:right="20"/>
        <w:jc w:val="both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Podatke i saznanja o poslovanju Naručitelja do kojih ovlašteni revizori dođu pri obavljanju revizije, dužni su čuvati kao poslovnu tajnu. Sve informacije i savjete koje je Revizor dao Naručitelju, bilo u pisanom ili usmenom obliku, Naručitelj neće proslijediti trećoj osobi bez prethodnog odobrenja Revizora.</w:t>
      </w:r>
    </w:p>
    <w:p w:rsidR="00AB402B" w:rsidRDefault="00AB402B" w:rsidP="00AB402B">
      <w:pPr>
        <w:spacing w:after="0" w:line="245" w:lineRule="exact"/>
        <w:ind w:left="20" w:right="20"/>
        <w:jc w:val="center"/>
        <w:rPr>
          <w:rFonts w:ascii="Calibri" w:eastAsia="Calibri" w:hAnsi="Calibri" w:cs="Times New Roman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 xml:space="preserve">Članak </w:t>
      </w:r>
      <w:r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8</w:t>
      </w:r>
      <w:r w:rsidRPr="00AB402B">
        <w:rPr>
          <w:rFonts w:ascii="Calibri" w:eastAsia="Calibri" w:hAnsi="Calibri" w:cs="Times New Roman"/>
          <w:spacing w:val="5"/>
          <w:sz w:val="18"/>
          <w:szCs w:val="18"/>
          <w:lang w:eastAsia="hr-HR"/>
        </w:rPr>
        <w:t>.</w:t>
      </w:r>
    </w:p>
    <w:p w:rsidR="003F0C00" w:rsidRDefault="00AB402B" w:rsidP="00AB402B">
      <w:pPr>
        <w:spacing w:after="0" w:line="245" w:lineRule="exact"/>
        <w:ind w:right="20"/>
        <w:jc w:val="both"/>
        <w:rPr>
          <w:sz w:val="18"/>
          <w:szCs w:val="18"/>
        </w:rPr>
      </w:pPr>
      <w:r w:rsidRPr="00AB402B">
        <w:rPr>
          <w:sz w:val="18"/>
          <w:szCs w:val="18"/>
        </w:rPr>
        <w:t>Svi dokazi, dokumenti, pregledi ili tablice koje su izradili za potrebe revizije, zaposlenici Naručitelja ili revizori ili su pribavljeni od trećih osoba, a u svrhu obavljanja revizije kod Naručitelja vlasništvo su Revizora koji ih čuva sukladno pozitivnim zakonskim propisima.</w:t>
      </w:r>
    </w:p>
    <w:p w:rsidR="00AB402B" w:rsidRPr="00AB402B" w:rsidRDefault="00AB402B" w:rsidP="00AB402B">
      <w:pPr>
        <w:spacing w:after="0" w:line="250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9.</w:t>
      </w:r>
    </w:p>
    <w:p w:rsidR="00AB402B" w:rsidRPr="00AB402B" w:rsidRDefault="00AB402B" w:rsidP="00AB402B">
      <w:pPr>
        <w:spacing w:after="188" w:line="250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Revizor se obvezuje izraditi Izvješća o reviziji i dostaviti ih Naručitelju koji može na njih u roku od 8 dana staviti primjedbe.</w:t>
      </w:r>
    </w:p>
    <w:p w:rsidR="00AB402B" w:rsidRPr="00AB402B" w:rsidRDefault="00AB402B" w:rsidP="00AB402B">
      <w:pPr>
        <w:spacing w:after="0" w:line="240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10.</w:t>
      </w:r>
    </w:p>
    <w:p w:rsidR="00AB402B" w:rsidRPr="00AB402B" w:rsidRDefault="00AB402B" w:rsidP="00AB402B">
      <w:pPr>
        <w:spacing w:after="0" w:line="240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Naručitelj je dužan staviti na raspolaganje i uvid Revizoru sva potrebna izvješća, isprave i druge informacije, te korektno i stručno izraditi potrebne tablice i informacije neophodne za izradu izvješća revizije kao što su:</w:t>
      </w:r>
    </w:p>
    <w:p w:rsidR="00AB402B" w:rsidRPr="00AB402B" w:rsidRDefault="00AB402B" w:rsidP="00AB402B">
      <w:pPr>
        <w:numPr>
          <w:ilvl w:val="0"/>
          <w:numId w:val="1"/>
        </w:numPr>
        <w:tabs>
          <w:tab w:val="left" w:pos="212"/>
        </w:tabs>
        <w:spacing w:after="0" w:line="240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propisani obračuni, izvještaji, isprave i drugu dokumentaciju</w:t>
      </w:r>
    </w:p>
    <w:p w:rsidR="00AB402B" w:rsidRPr="00AB402B" w:rsidRDefault="00AB402B" w:rsidP="00AB402B">
      <w:pPr>
        <w:numPr>
          <w:ilvl w:val="0"/>
          <w:numId w:val="1"/>
        </w:numPr>
        <w:tabs>
          <w:tab w:val="left" w:pos="207"/>
        </w:tabs>
        <w:spacing w:after="0" w:line="240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godišnji financijski podaci do dana početka revizije</w:t>
      </w:r>
    </w:p>
    <w:p w:rsidR="00AB402B" w:rsidRPr="00AB402B" w:rsidRDefault="00AB402B" w:rsidP="00AB402B">
      <w:pPr>
        <w:numPr>
          <w:ilvl w:val="0"/>
          <w:numId w:val="1"/>
        </w:numPr>
        <w:tabs>
          <w:tab w:val="left" w:pos="217"/>
        </w:tabs>
        <w:spacing w:after="0" w:line="240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popunjene pomoćne tablice i tablične preglede koje će dostaviti Revizor</w:t>
      </w:r>
    </w:p>
    <w:p w:rsidR="00AB402B" w:rsidRPr="00AB402B" w:rsidRDefault="00AB402B" w:rsidP="00AB402B">
      <w:pPr>
        <w:numPr>
          <w:ilvl w:val="0"/>
          <w:numId w:val="1"/>
        </w:numPr>
        <w:tabs>
          <w:tab w:val="left" w:pos="274"/>
        </w:tabs>
        <w:spacing w:after="0" w:line="240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osigurati odgovarajuću suradnju svojih predstavnika, te pružiti potrebne usluge svoje elektroničke računalne opreme.</w:t>
      </w:r>
    </w:p>
    <w:p w:rsidR="00AB402B" w:rsidRPr="00AB402B" w:rsidRDefault="00AB402B" w:rsidP="00AB402B">
      <w:pPr>
        <w:numPr>
          <w:ilvl w:val="0"/>
          <w:numId w:val="1"/>
        </w:numPr>
        <w:tabs>
          <w:tab w:val="left" w:pos="246"/>
        </w:tabs>
        <w:spacing w:after="0" w:line="240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osigurati potreban radni prostor za rad revizora koji udovoljava uobičajenim radnim uvjetima računovodstvenih djelatnika.</w:t>
      </w:r>
    </w:p>
    <w:p w:rsidR="00AB402B" w:rsidRPr="00AB402B" w:rsidRDefault="00AB402B" w:rsidP="00AB402B">
      <w:pPr>
        <w:spacing w:after="176" w:line="240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Naručitelj se obvezuje da će tijekom trajanja revizije odrediti najmanje jednog stručnog djelatnika za suradnju s Revizorom.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11.</w:t>
      </w:r>
    </w:p>
    <w:p w:rsidR="00AB402B" w:rsidRPr="00AB402B" w:rsidRDefault="00AB402B" w:rsidP="00AB402B">
      <w:pPr>
        <w:spacing w:after="180" w:line="245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Odgovornosti koje Naručitelj ima na temelju zakona vezano uz zakonitost izrade i prezentiranje financijskih izvještaja ne mogu se prenijeti na Revizora. Uprava Naručitelja je odgovorna za sastavljanje , istinit i objektivan prikaz financijskih izvještaja u skladu sa Hrvatskim standardima financijskog izvještavanja i zakonskim propisima koji se primjenjuju u Republici Hrvatskoj. Odgovornosti Uprave uključuju: utvrđivanje, uvođenje i održavanje internih kontrola relevantnih za sastavljanje i fer prezentaciju financijskih izvještaja u kojima neće biti značajnih pogrešnih prikazivanja uzrokovanih prijevarom ili pogreškom; odabir i primjenu odgovarajućih računovodstvenih politika i stvaranje razumnih računovodstvenih procjena 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12.</w:t>
      </w:r>
    </w:p>
    <w:p w:rsidR="00AB402B" w:rsidRPr="00AB402B" w:rsidRDefault="00AB402B" w:rsidP="00AB402B">
      <w:pPr>
        <w:spacing w:after="180" w:line="245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Naručitelj i Revizor mogu odustati od ovog ugovora na temelju međusobnog sporazuma kada nastupe okolnosti određene Zakonom o reviziji i drugim pozitivnim zakonskim propisima. Sporazumom o raskidu ugovora regulirati će se međusobna potraživanja ugovornih strana u trenutku raskida ugovora.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13.</w:t>
      </w:r>
    </w:p>
    <w:p w:rsidR="00AB402B" w:rsidRPr="00AB402B" w:rsidRDefault="00AB402B" w:rsidP="00AB402B">
      <w:pPr>
        <w:spacing w:after="180" w:line="245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Razlike u mišljenjima koje se odnose na područje računovodstva i revizije, između Naručitelja i Revizora ne mogu biti opravdana osnova za raskid ugovora.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14.</w:t>
      </w:r>
    </w:p>
    <w:p w:rsidR="00AB402B" w:rsidRPr="00AB402B" w:rsidRDefault="00AB402B" w:rsidP="00AB402B">
      <w:pPr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18"/>
          <w:szCs w:val="18"/>
          <w:lang w:eastAsia="hr-HR"/>
        </w:rPr>
      </w:pPr>
      <w:r w:rsidRPr="00AB402B">
        <w:rPr>
          <w:rFonts w:ascii="Calibri" w:eastAsia="Arial Unicode MS" w:hAnsi="Calibri" w:cs="Times New Roman"/>
          <w:color w:val="000000"/>
          <w:sz w:val="18"/>
          <w:szCs w:val="18"/>
          <w:lang w:eastAsia="hr-HR"/>
        </w:rPr>
        <w:t xml:space="preserve">Nakon obavljenih postupaka revizije, Revizor je obavezan Naručitelju dostaviti Izvješća revizije o financijskim izvještajima Naručitelja , sukladno ovom ugovoru, u pisanom obliku do </w:t>
      </w:r>
      <w:r>
        <w:rPr>
          <w:rFonts w:ascii="Calibri" w:eastAsia="Arial Unicode MS" w:hAnsi="Calibri" w:cs="Times New Roman"/>
          <w:color w:val="000000"/>
          <w:sz w:val="18"/>
          <w:szCs w:val="18"/>
          <w:lang w:eastAsia="hr-HR"/>
        </w:rPr>
        <w:t>10.09.2020</w:t>
      </w:r>
      <w:r w:rsidRPr="00AB402B">
        <w:rPr>
          <w:rFonts w:ascii="Calibri" w:eastAsia="Arial Unicode MS" w:hAnsi="Calibri" w:cs="Times New Roman"/>
          <w:color w:val="000000"/>
          <w:sz w:val="18"/>
          <w:szCs w:val="18"/>
          <w:lang w:eastAsia="hr-HR"/>
        </w:rPr>
        <w:t>. godine . Revizorska izvješća sastavljaju se na hrvatskom jeziku.</w:t>
      </w:r>
      <w:r w:rsidRPr="00AB402B">
        <w:rPr>
          <w:rFonts w:ascii="Calibri" w:eastAsia="Arial Unicode MS" w:hAnsi="Calibri" w:cs="Arial Unicode MS"/>
          <w:color w:val="000000"/>
          <w:sz w:val="18"/>
          <w:szCs w:val="18"/>
          <w:lang w:eastAsia="hr-HR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:rsidR="00AB402B" w:rsidRPr="00AB402B" w:rsidRDefault="00AB402B" w:rsidP="00AB402B">
      <w:pPr>
        <w:spacing w:after="0" w:line="245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</w:p>
    <w:p w:rsid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</w:p>
    <w:p w:rsid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lastRenderedPageBreak/>
        <w:t>Članak 15.</w:t>
      </w:r>
    </w:p>
    <w:p w:rsidR="00AB402B" w:rsidRPr="00AB402B" w:rsidRDefault="00AB402B" w:rsidP="00AB402B">
      <w:pPr>
        <w:spacing w:after="248" w:line="245" w:lineRule="exact"/>
        <w:ind w:left="20" w:righ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Naručitelj se obvezuje, po potrebi pozvati i osigurati prisutnost ovlaštenog revizora na sjednicama nadležnih tijela Naručitelja na kojima će se podnijeti na razmatranje i usvajanje financijski izvještaji Naručitelja.</w:t>
      </w:r>
    </w:p>
    <w:p w:rsidR="00AB402B" w:rsidRPr="00AB402B" w:rsidRDefault="00AB402B" w:rsidP="00AB402B">
      <w:pPr>
        <w:spacing w:after="44" w:line="160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</w:t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lanak 16.</w:t>
      </w:r>
    </w:p>
    <w:p w:rsidR="00AB402B" w:rsidRPr="00AB402B" w:rsidRDefault="00AB402B" w:rsidP="00AB402B">
      <w:pPr>
        <w:spacing w:after="235" w:line="160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U slučaju spora po ovom ugovoru, ugovara se nadležnost Trgovačkog suda sa sjedištem u Bjelovaru.</w:t>
      </w:r>
    </w:p>
    <w:p w:rsidR="00AB402B" w:rsidRPr="00AB402B" w:rsidRDefault="00AB402B" w:rsidP="00AB402B">
      <w:pPr>
        <w:spacing w:after="0" w:line="245" w:lineRule="exact"/>
        <w:jc w:val="center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Članak 17.</w:t>
      </w:r>
    </w:p>
    <w:p w:rsidR="00AB402B" w:rsidRPr="00AB402B" w:rsidRDefault="00AB402B" w:rsidP="00AB402B">
      <w:pPr>
        <w:spacing w:after="0" w:line="245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Ovaj ugovor stupa na snagu danom potpisa ovlaštenih osoba ugovornih strana, a sastavljen je u četiri (4) istovjetna</w:t>
      </w:r>
    </w:p>
    <w:p w:rsidR="00AB402B" w:rsidRPr="00AB402B" w:rsidRDefault="00AB402B" w:rsidP="00AB402B">
      <w:pPr>
        <w:spacing w:after="248" w:line="245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primjerka od kojih svaka strana zadržava po dva (2).</w:t>
      </w:r>
    </w:p>
    <w:p w:rsidR="00AB402B" w:rsidRPr="00AB402B" w:rsidRDefault="00AB402B" w:rsidP="00AB402B">
      <w:pPr>
        <w:tabs>
          <w:tab w:val="left" w:pos="2521"/>
        </w:tabs>
        <w:spacing w:after="0" w:line="160" w:lineRule="exact"/>
        <w:ind w:left="20"/>
        <w:jc w:val="both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U Bjelovaru,______________________</w:t>
      </w:r>
    </w:p>
    <w:p w:rsidR="00AB402B" w:rsidRPr="00AB402B" w:rsidRDefault="00AB402B" w:rsidP="00AB402B">
      <w:pPr>
        <w:spacing w:after="0" w:line="240" w:lineRule="exact"/>
        <w:ind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0" w:lineRule="exact"/>
        <w:ind w:left="20"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</w:p>
    <w:p w:rsidR="00AB402B" w:rsidRPr="00AB402B" w:rsidRDefault="00AB402B" w:rsidP="00AB402B">
      <w:pPr>
        <w:spacing w:after="0" w:line="240" w:lineRule="exact"/>
        <w:ind w:left="20"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Za Naručitelja:</w:t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  <w:t>Revizor</w:t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</w:p>
    <w:p w:rsidR="00AB402B" w:rsidRPr="00AB402B" w:rsidRDefault="00AB402B" w:rsidP="00AB402B">
      <w:pPr>
        <w:spacing w:after="0" w:line="240" w:lineRule="exact"/>
        <w:ind w:left="20"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Predsjednik uprave:</w:t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  <w:t xml:space="preserve">               ___________________</w:t>
      </w:r>
    </w:p>
    <w:p w:rsidR="00AB402B" w:rsidRPr="00AB402B" w:rsidRDefault="00AB402B" w:rsidP="00AB402B">
      <w:pPr>
        <w:spacing w:after="360" w:line="240" w:lineRule="exact"/>
        <w:ind w:left="20"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 xml:space="preserve">Ivan Ivančić, dipl. </w:t>
      </w:r>
      <w:proofErr w:type="spellStart"/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oec</w:t>
      </w:r>
      <w:proofErr w:type="spellEnd"/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 xml:space="preserve">                                                                                     </w:t>
      </w:r>
    </w:p>
    <w:p w:rsidR="00AB402B" w:rsidRPr="00AB402B" w:rsidRDefault="00AB402B" w:rsidP="00AB402B">
      <w:pPr>
        <w:spacing w:after="360" w:line="240" w:lineRule="exact"/>
        <w:ind w:left="20" w:right="1160"/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</w:pP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>_____________________</w:t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</w:r>
      <w:r w:rsidRPr="00AB402B">
        <w:rPr>
          <w:rFonts w:ascii="Calibri" w:eastAsia="Calibri" w:hAnsi="Calibri" w:cs="Times New Roman"/>
          <w:color w:val="000000"/>
          <w:spacing w:val="5"/>
          <w:sz w:val="18"/>
          <w:szCs w:val="18"/>
          <w:lang w:eastAsia="hr-HR"/>
        </w:rPr>
        <w:tab/>
        <w:t>__________________</w:t>
      </w:r>
    </w:p>
    <w:p w:rsidR="00AB402B" w:rsidRPr="00AB402B" w:rsidRDefault="00AB402B">
      <w:pPr>
        <w:rPr>
          <w:sz w:val="18"/>
          <w:szCs w:val="18"/>
        </w:rPr>
      </w:pPr>
    </w:p>
    <w:sectPr w:rsidR="00AB402B" w:rsidRPr="00AB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24FA6"/>
    <w:multiLevelType w:val="multilevel"/>
    <w:tmpl w:val="42E6F1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2B"/>
    <w:rsid w:val="003F0C00"/>
    <w:rsid w:val="00A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5513"/>
  <w15:chartTrackingRefBased/>
  <w15:docId w15:val="{635CC98F-5378-4A2B-A43A-46BC5CB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Nabava-VBrlecic</cp:lastModifiedBy>
  <cp:revision>1</cp:revision>
  <dcterms:created xsi:type="dcterms:W3CDTF">2020-08-10T09:26:00Z</dcterms:created>
  <dcterms:modified xsi:type="dcterms:W3CDTF">2020-08-10T09:32:00Z</dcterms:modified>
</cp:coreProperties>
</file>